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7D83" w14:textId="17331ECD" w:rsidR="00BE6B6E" w:rsidRDefault="00BE6B6E" w:rsidP="00BE6B6E">
      <w:pPr>
        <w:pStyle w:val="a3"/>
        <w:spacing w:line="442" w:lineRule="exact"/>
        <w:ind w:left="1117"/>
      </w:pPr>
      <w:r w:rsidRPr="00F51DCC">
        <w:rPr>
          <w:rFonts w:ascii="標楷體" w:eastAsia="標楷體" w:hAnsi="標楷體" w:cstheme="minorBidi"/>
          <w:b/>
          <w:bCs/>
          <w:kern w:val="2"/>
          <w:szCs w:val="32"/>
        </w:rPr>
        <w:t>國立</w:t>
      </w:r>
      <w:proofErr w:type="gramStart"/>
      <w:r w:rsidRPr="00F51DCC">
        <w:rPr>
          <w:rFonts w:ascii="標楷體" w:eastAsia="標楷體" w:hAnsi="標楷體" w:cstheme="minorBidi"/>
          <w:b/>
          <w:bCs/>
          <w:kern w:val="2"/>
          <w:szCs w:val="32"/>
        </w:rPr>
        <w:t>臺</w:t>
      </w:r>
      <w:proofErr w:type="gramEnd"/>
      <w:r w:rsidRPr="00F51DCC">
        <w:rPr>
          <w:rFonts w:ascii="標楷體" w:eastAsia="標楷體" w:hAnsi="標楷體" w:cstheme="minorBidi"/>
          <w:b/>
          <w:bCs/>
          <w:kern w:val="2"/>
          <w:szCs w:val="32"/>
        </w:rPr>
        <w:t>中科技大學研究發展成果技術股權處分管理要點</w:t>
      </w:r>
    </w:p>
    <w:p w14:paraId="669DF13D" w14:textId="77777777" w:rsidR="00BE6B6E" w:rsidRPr="00F51DCC" w:rsidRDefault="00BE6B6E" w:rsidP="00BE6B6E">
      <w:pPr>
        <w:spacing w:before="93" w:line="327" w:lineRule="exact"/>
        <w:ind w:right="101"/>
        <w:jc w:val="right"/>
        <w:rPr>
          <w:rFonts w:ascii="標楷體" w:eastAsia="標楷體" w:hAnsi="標楷體"/>
          <w:sz w:val="20"/>
        </w:rPr>
      </w:pPr>
      <w:r w:rsidRPr="00F51DCC">
        <w:rPr>
          <w:rFonts w:ascii="標楷體" w:eastAsia="標楷體" w:hAnsi="標楷體"/>
          <w:spacing w:val="-2"/>
          <w:sz w:val="20"/>
        </w:rPr>
        <w:t>109年12月29日109學年度第1學期第2</w:t>
      </w:r>
      <w:r w:rsidRPr="00F51DCC">
        <w:rPr>
          <w:rFonts w:ascii="標楷體" w:eastAsia="標楷體" w:hAnsi="標楷體"/>
          <w:spacing w:val="-3"/>
          <w:sz w:val="20"/>
        </w:rPr>
        <w:t>次研究發展委員會通過</w:t>
      </w:r>
    </w:p>
    <w:p w14:paraId="543CAB84" w14:textId="77777777" w:rsidR="00BE6B6E" w:rsidRPr="00F51DCC" w:rsidRDefault="00BE6B6E" w:rsidP="00BE6B6E">
      <w:pPr>
        <w:spacing w:line="277" w:lineRule="exact"/>
        <w:ind w:right="101"/>
        <w:jc w:val="right"/>
        <w:rPr>
          <w:rFonts w:ascii="標楷體" w:eastAsia="標楷體" w:hAnsi="標楷體"/>
          <w:sz w:val="20"/>
        </w:rPr>
      </w:pPr>
      <w:r w:rsidRPr="00F51DCC">
        <w:rPr>
          <w:rFonts w:ascii="標楷體" w:eastAsia="標楷體" w:hAnsi="標楷體"/>
          <w:spacing w:val="-2"/>
          <w:sz w:val="20"/>
        </w:rPr>
        <w:t>110</w:t>
      </w:r>
      <w:r w:rsidRPr="00F51DCC">
        <w:rPr>
          <w:rFonts w:ascii="標楷體" w:eastAsia="標楷體" w:hAnsi="標楷體"/>
          <w:spacing w:val="-4"/>
          <w:sz w:val="20"/>
        </w:rPr>
        <w:t>年</w:t>
      </w:r>
      <w:r w:rsidRPr="00F51DCC">
        <w:rPr>
          <w:rFonts w:ascii="標楷體" w:eastAsia="標楷體" w:hAnsi="標楷體"/>
          <w:spacing w:val="-2"/>
          <w:sz w:val="20"/>
        </w:rPr>
        <w:t>3</w:t>
      </w:r>
      <w:r w:rsidRPr="00F51DCC">
        <w:rPr>
          <w:rFonts w:ascii="標楷體" w:eastAsia="標楷體" w:hAnsi="標楷體"/>
          <w:spacing w:val="-3"/>
          <w:sz w:val="20"/>
        </w:rPr>
        <w:t>月</w:t>
      </w:r>
      <w:r w:rsidRPr="00F51DCC">
        <w:rPr>
          <w:rFonts w:ascii="標楷體" w:eastAsia="標楷體" w:hAnsi="標楷體"/>
          <w:spacing w:val="-2"/>
          <w:sz w:val="20"/>
        </w:rPr>
        <w:t>16</w:t>
      </w:r>
      <w:r w:rsidRPr="00F51DCC">
        <w:rPr>
          <w:rFonts w:ascii="標楷體" w:eastAsia="標楷體" w:hAnsi="標楷體"/>
          <w:spacing w:val="-3"/>
          <w:sz w:val="20"/>
        </w:rPr>
        <w:t>日</w:t>
      </w:r>
      <w:r w:rsidRPr="00F51DCC">
        <w:rPr>
          <w:rFonts w:ascii="標楷體" w:eastAsia="標楷體" w:hAnsi="標楷體"/>
          <w:spacing w:val="-2"/>
          <w:sz w:val="20"/>
        </w:rPr>
        <w:t>109學年度第2學期第1</w:t>
      </w:r>
      <w:r w:rsidRPr="00F51DCC">
        <w:rPr>
          <w:rFonts w:ascii="標楷體" w:eastAsia="標楷體" w:hAnsi="標楷體"/>
          <w:spacing w:val="-3"/>
          <w:sz w:val="20"/>
        </w:rPr>
        <w:t>次校務基金管理委員會通過</w:t>
      </w:r>
    </w:p>
    <w:p w14:paraId="368CD88C" w14:textId="77777777" w:rsidR="00BE6B6E" w:rsidRPr="00F51DCC" w:rsidRDefault="00BE6B6E" w:rsidP="00BE6B6E">
      <w:pPr>
        <w:spacing w:line="269" w:lineRule="exact"/>
        <w:ind w:right="101"/>
        <w:jc w:val="right"/>
        <w:rPr>
          <w:rFonts w:ascii="標楷體" w:eastAsia="標楷體" w:hAnsi="標楷體"/>
          <w:sz w:val="20"/>
        </w:rPr>
      </w:pPr>
      <w:r w:rsidRPr="00F51DCC">
        <w:rPr>
          <w:rFonts w:ascii="標楷體" w:eastAsia="標楷體" w:hAnsi="標楷體"/>
          <w:spacing w:val="-8"/>
          <w:sz w:val="20"/>
        </w:rPr>
        <w:t>111年11月15日111學年度第1學期第2</w:t>
      </w:r>
      <w:r w:rsidRPr="00F51DCC">
        <w:rPr>
          <w:rFonts w:ascii="標楷體" w:eastAsia="標楷體" w:hAnsi="標楷體"/>
          <w:spacing w:val="-9"/>
          <w:sz w:val="20"/>
        </w:rPr>
        <w:t>次校務基金管理委員會通過</w:t>
      </w:r>
    </w:p>
    <w:p w14:paraId="545C346C" w14:textId="49E485AA" w:rsidR="00BE6B6E" w:rsidRPr="00BE6B6E" w:rsidRDefault="00BE6B6E" w:rsidP="00BE6B6E">
      <w:pPr>
        <w:spacing w:line="277" w:lineRule="exact"/>
        <w:ind w:right="101"/>
        <w:jc w:val="right"/>
        <w:rPr>
          <w:rFonts w:ascii="標楷體" w:eastAsia="標楷體" w:hAnsi="標楷體"/>
          <w:sz w:val="20"/>
        </w:rPr>
      </w:pPr>
      <w:r w:rsidRPr="00BE6B6E">
        <w:rPr>
          <w:rFonts w:ascii="標楷體" w:eastAsia="標楷體" w:hAnsi="標楷體"/>
          <w:spacing w:val="-2"/>
          <w:sz w:val="20"/>
        </w:rPr>
        <w:t>11</w:t>
      </w:r>
      <w:r w:rsidRPr="00BE6B6E">
        <w:rPr>
          <w:rFonts w:ascii="標楷體" w:eastAsia="標楷體" w:hAnsi="標楷體" w:hint="eastAsia"/>
          <w:spacing w:val="-2"/>
          <w:sz w:val="20"/>
        </w:rPr>
        <w:t>5</w:t>
      </w:r>
      <w:r w:rsidRPr="00BE6B6E">
        <w:rPr>
          <w:rFonts w:ascii="標楷體" w:eastAsia="標楷體" w:hAnsi="標楷體"/>
          <w:spacing w:val="-2"/>
          <w:sz w:val="20"/>
        </w:rPr>
        <w:t>年</w:t>
      </w:r>
      <w:r w:rsidRPr="00BE6B6E">
        <w:rPr>
          <w:rFonts w:ascii="標楷體" w:eastAsia="標楷體" w:hAnsi="標楷體" w:hint="eastAsia"/>
          <w:spacing w:val="-2"/>
          <w:sz w:val="20"/>
        </w:rPr>
        <w:t>1</w:t>
      </w:r>
      <w:r w:rsidRPr="00BE6B6E">
        <w:rPr>
          <w:rFonts w:ascii="標楷體" w:eastAsia="標楷體" w:hAnsi="標楷體"/>
          <w:spacing w:val="-2"/>
          <w:sz w:val="20"/>
        </w:rPr>
        <w:t>月</w:t>
      </w:r>
      <w:r w:rsidRPr="00BE6B6E">
        <w:rPr>
          <w:rFonts w:ascii="標楷體" w:eastAsia="標楷體" w:hAnsi="標楷體" w:hint="eastAsia"/>
          <w:spacing w:val="-2"/>
          <w:sz w:val="20"/>
        </w:rPr>
        <w:t>6</w:t>
      </w:r>
      <w:r w:rsidRPr="00BE6B6E">
        <w:rPr>
          <w:rFonts w:ascii="標楷體" w:eastAsia="標楷體" w:hAnsi="標楷體"/>
          <w:spacing w:val="-2"/>
          <w:sz w:val="20"/>
        </w:rPr>
        <w:t>日</w:t>
      </w:r>
      <w:r w:rsidRPr="00BE6B6E">
        <w:rPr>
          <w:rFonts w:ascii="標楷體" w:eastAsia="標楷體" w:hAnsi="標楷體" w:hint="eastAsia"/>
          <w:spacing w:val="-2"/>
          <w:sz w:val="20"/>
        </w:rPr>
        <w:t>114</w:t>
      </w:r>
      <w:r w:rsidRPr="00BE6B6E">
        <w:rPr>
          <w:rFonts w:ascii="標楷體" w:eastAsia="標楷體" w:hAnsi="標楷體"/>
          <w:spacing w:val="-2"/>
          <w:sz w:val="20"/>
        </w:rPr>
        <w:t>學年度第</w:t>
      </w:r>
      <w:r w:rsidRPr="00BE6B6E">
        <w:rPr>
          <w:rFonts w:ascii="標楷體" w:eastAsia="標楷體" w:hAnsi="標楷體" w:hint="eastAsia"/>
          <w:spacing w:val="-2"/>
          <w:sz w:val="20"/>
        </w:rPr>
        <w:t>1學期第3</w:t>
      </w:r>
      <w:r w:rsidRPr="00BE6B6E">
        <w:rPr>
          <w:rFonts w:ascii="標楷體" w:eastAsia="標楷體" w:hAnsi="標楷體"/>
          <w:spacing w:val="-2"/>
          <w:sz w:val="20"/>
        </w:rPr>
        <w:t>次校務基金管理委員會</w:t>
      </w:r>
      <w:r w:rsidRPr="00BE6B6E">
        <w:rPr>
          <w:rFonts w:ascii="標楷體" w:eastAsia="標楷體" w:hAnsi="標楷體" w:hint="eastAsia"/>
          <w:spacing w:val="-2"/>
          <w:sz w:val="20"/>
        </w:rPr>
        <w:t>修正</w:t>
      </w:r>
      <w:r w:rsidRPr="00BE6B6E">
        <w:rPr>
          <w:rFonts w:ascii="標楷體" w:eastAsia="標楷體" w:hAnsi="標楷體"/>
          <w:spacing w:val="-2"/>
          <w:sz w:val="20"/>
        </w:rPr>
        <w:t>通過</w:t>
      </w:r>
    </w:p>
    <w:p w14:paraId="7053EA99" w14:textId="77777777" w:rsidR="00BE6B6E" w:rsidRPr="00F51DCC" w:rsidRDefault="00BE6B6E" w:rsidP="00BE6B6E">
      <w:pPr>
        <w:pStyle w:val="a3"/>
        <w:spacing w:before="251" w:line="420" w:lineRule="exact"/>
        <w:ind w:left="754" w:right="264" w:hanging="519"/>
        <w:jc w:val="both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2"/>
        </w:rPr>
        <w:t>一、為鼓勵教師及研究人員從事研究並以技術作價投資事業，提升本校研發成果運用收益，並作為執行技術股權處分管理依據，特依國家科學及技術委員會「科學技術研究發展成果股權處分管理機制參考原則」</w:t>
      </w:r>
      <w:r w:rsidRPr="00F51DCC">
        <w:rPr>
          <w:rFonts w:ascii="標楷體" w:eastAsia="標楷體" w:hAnsi="標楷體"/>
          <w:color w:val="FF0000"/>
          <w:spacing w:val="-2"/>
        </w:rPr>
        <w:t>，</w:t>
      </w:r>
      <w:r w:rsidRPr="00F51DCC">
        <w:rPr>
          <w:rFonts w:ascii="標楷體" w:eastAsia="標楷體" w:hAnsi="標楷體"/>
          <w:spacing w:val="-2"/>
        </w:rPr>
        <w:t>訂定國立</w:t>
      </w:r>
      <w:proofErr w:type="gramStart"/>
      <w:r w:rsidRPr="00F51DCC">
        <w:rPr>
          <w:rFonts w:ascii="標楷體" w:eastAsia="標楷體" w:hAnsi="標楷體"/>
          <w:spacing w:val="-2"/>
        </w:rPr>
        <w:t>臺</w:t>
      </w:r>
      <w:proofErr w:type="gramEnd"/>
      <w:r w:rsidRPr="00F51DCC">
        <w:rPr>
          <w:rFonts w:ascii="標楷體" w:eastAsia="標楷體" w:hAnsi="標楷體"/>
          <w:spacing w:val="-2"/>
        </w:rPr>
        <w:t>中科技大學研究發展成果技術股權處分管理要點(以下簡稱本要點)。</w:t>
      </w:r>
    </w:p>
    <w:p w14:paraId="5E5BE7D7" w14:textId="77777777" w:rsidR="00BE6B6E" w:rsidRPr="00F51DCC" w:rsidRDefault="00BE6B6E" w:rsidP="00BE6B6E">
      <w:pPr>
        <w:pStyle w:val="a3"/>
        <w:spacing w:line="420" w:lineRule="exact"/>
        <w:ind w:left="236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22"/>
        </w:rPr>
        <w:t>二、本要點所稱「技術股權</w:t>
      </w:r>
      <w:r w:rsidRPr="00F51DCC">
        <w:rPr>
          <w:rFonts w:ascii="標楷體" w:eastAsia="標楷體" w:hAnsi="標楷體"/>
          <w:spacing w:val="-161"/>
        </w:rPr>
        <w:t>」</w:t>
      </w:r>
      <w:r w:rsidRPr="00F51DCC">
        <w:rPr>
          <w:rFonts w:ascii="標楷體" w:eastAsia="標楷體" w:hAnsi="標楷體"/>
          <w:spacing w:val="-22"/>
        </w:rPr>
        <w:t>，指以智慧財產權及成果技術移轉所獲得營利事業股份</w:t>
      </w:r>
    </w:p>
    <w:p w14:paraId="06DA117B" w14:textId="77777777" w:rsidR="00BE6B6E" w:rsidRPr="00F51DCC" w:rsidRDefault="00BE6B6E" w:rsidP="00BE6B6E">
      <w:pPr>
        <w:pStyle w:val="a3"/>
        <w:spacing w:line="420" w:lineRule="exact"/>
        <w:ind w:left="754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7"/>
        </w:rPr>
        <w:t>作為技術移轉收益之對價而取得之股權。</w:t>
      </w:r>
    </w:p>
    <w:p w14:paraId="76DD3E26" w14:textId="77777777" w:rsidR="00BE6B6E" w:rsidRPr="00F51DCC" w:rsidRDefault="00BE6B6E" w:rsidP="00BE6B6E">
      <w:pPr>
        <w:pStyle w:val="a3"/>
        <w:spacing w:line="420" w:lineRule="exact"/>
        <w:ind w:left="743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2"/>
        </w:rPr>
        <w:t>所稱「股權處分管理</w:t>
      </w:r>
      <w:r w:rsidRPr="00F51DCC">
        <w:rPr>
          <w:rFonts w:ascii="標楷體" w:eastAsia="標楷體" w:hAnsi="標楷體"/>
          <w:spacing w:val="-144"/>
        </w:rPr>
        <w:t>」</w:t>
      </w:r>
      <w:r w:rsidRPr="00F51DCC">
        <w:rPr>
          <w:rFonts w:ascii="標楷體" w:eastAsia="標楷體" w:hAnsi="標楷體"/>
          <w:spacing w:val="-3"/>
        </w:rPr>
        <w:t>，係指建立處分股權之價格、時點等評估程序。</w:t>
      </w:r>
    </w:p>
    <w:p w14:paraId="20A626ED" w14:textId="77777777" w:rsidR="00BE6B6E" w:rsidRPr="00F51DCC" w:rsidRDefault="00BE6B6E" w:rsidP="00BE6B6E">
      <w:pPr>
        <w:pStyle w:val="a3"/>
        <w:spacing w:before="32" w:line="420" w:lineRule="exact"/>
        <w:ind w:left="707" w:right="287" w:firstLine="31"/>
        <w:jc w:val="both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24"/>
        </w:rPr>
        <w:t>所稱「衍生利益金</w:t>
      </w:r>
      <w:r w:rsidRPr="00F51DCC">
        <w:rPr>
          <w:rFonts w:ascii="標楷體" w:eastAsia="標楷體" w:hAnsi="標楷體"/>
          <w:spacing w:val="-183"/>
        </w:rPr>
        <w:t>」</w:t>
      </w:r>
      <w:r w:rsidRPr="00F51DCC">
        <w:rPr>
          <w:rFonts w:ascii="標楷體" w:eastAsia="標楷體" w:hAnsi="標楷體"/>
          <w:spacing w:val="-24"/>
        </w:rPr>
        <w:t>：或稱權利金，係指本校研發成果經有償移轉或授權後，被授</w:t>
      </w:r>
      <w:r w:rsidRPr="00F51DCC">
        <w:rPr>
          <w:rFonts w:ascii="標楷體" w:eastAsia="標楷體" w:hAnsi="標楷體"/>
          <w:spacing w:val="-2"/>
        </w:rPr>
        <w:t>權人據以運用於商品化後，按該產品</w:t>
      </w:r>
      <w:proofErr w:type="gramStart"/>
      <w:r w:rsidRPr="00F51DCC">
        <w:rPr>
          <w:rFonts w:ascii="標楷體" w:eastAsia="標楷體" w:hAnsi="標楷體"/>
          <w:spacing w:val="-2"/>
        </w:rPr>
        <w:t>銷售額依合約</w:t>
      </w:r>
      <w:proofErr w:type="gramEnd"/>
      <w:r w:rsidRPr="00F51DCC">
        <w:rPr>
          <w:rFonts w:ascii="標楷體" w:eastAsia="標楷體" w:hAnsi="標楷體"/>
          <w:spacing w:val="-2"/>
        </w:rPr>
        <w:t>內容，每月、季或年支付本校之一定比例收益而言。</w:t>
      </w:r>
    </w:p>
    <w:p w14:paraId="4C7A913E" w14:textId="5EE89A8F" w:rsidR="00BE6B6E" w:rsidRPr="00E415B0" w:rsidRDefault="00BE6B6E" w:rsidP="00BE6B6E">
      <w:pPr>
        <w:pStyle w:val="a3"/>
        <w:spacing w:line="420" w:lineRule="exact"/>
        <w:ind w:leftChars="114" w:left="699" w:hangingChars="190" w:hanging="448"/>
        <w:rPr>
          <w:rFonts w:ascii="標楷體" w:eastAsia="標楷體" w:hAnsi="標楷體"/>
          <w:strike/>
          <w:spacing w:val="-22"/>
        </w:rPr>
      </w:pPr>
      <w:r w:rsidRPr="00E415B0">
        <w:rPr>
          <w:rFonts w:ascii="標楷體" w:eastAsia="標楷體" w:hAnsi="標楷體"/>
          <w:spacing w:val="-22"/>
        </w:rPr>
        <w:t>三、研發成果收益</w:t>
      </w:r>
      <w:r w:rsidRPr="00093648">
        <w:rPr>
          <w:rFonts w:eastAsia="標楷體"/>
          <w:color w:val="FF0000"/>
        </w:rPr>
        <w:t>涉及回饋資助機關或分配其他機關時，依本校與受移轉機構簽訂之技術移轉合約所載收益性質繳回，現金收益以現金繳回，股權收益以股權繳回。</w:t>
      </w:r>
    </w:p>
    <w:p w14:paraId="1522DF4D" w14:textId="77777777" w:rsidR="00BE6B6E" w:rsidRPr="00F51DCC" w:rsidRDefault="00BE6B6E" w:rsidP="00BE6B6E">
      <w:pPr>
        <w:pStyle w:val="a3"/>
        <w:spacing w:line="420" w:lineRule="exact"/>
        <w:ind w:left="220"/>
        <w:rPr>
          <w:rFonts w:ascii="標楷體" w:eastAsia="標楷體" w:hAnsi="標楷體"/>
        </w:rPr>
      </w:pPr>
      <w:r w:rsidRPr="00E415B0">
        <w:rPr>
          <w:rFonts w:ascii="標楷體" w:eastAsia="標楷體" w:hAnsi="標楷體" w:hint="eastAsia"/>
          <w:spacing w:val="-2"/>
        </w:rPr>
        <w:t>四</w:t>
      </w:r>
      <w:r w:rsidRPr="00F51DCC">
        <w:rPr>
          <w:rFonts w:ascii="標楷體" w:eastAsia="標楷體" w:hAnsi="標楷體"/>
          <w:spacing w:val="-3"/>
        </w:rPr>
        <w:t>、本校研究發展成果技術股權處分由研究發展處專責管理。</w:t>
      </w:r>
    </w:p>
    <w:p w14:paraId="75DD5666" w14:textId="77777777" w:rsidR="00BE6B6E" w:rsidRPr="00F51DCC" w:rsidRDefault="00BE6B6E" w:rsidP="00BE6B6E">
      <w:pPr>
        <w:pStyle w:val="a3"/>
        <w:spacing w:before="33" w:line="420" w:lineRule="exact"/>
        <w:ind w:left="752" w:right="264" w:firstLine="16"/>
        <w:jc w:val="both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2"/>
        </w:rPr>
        <w:t>管理事務得以任務性編組方式邀請研發、總務、財務、主計及秘書部門之人員兼任或委託專業機構辦理；並評估學校持有技術股權價值，適時提出股權處分方案。</w:t>
      </w:r>
    </w:p>
    <w:p w14:paraId="4748878E" w14:textId="77777777" w:rsidR="00BE6B6E" w:rsidRPr="00F51DCC" w:rsidRDefault="00BE6B6E" w:rsidP="00BE6B6E">
      <w:pPr>
        <w:pStyle w:val="a3"/>
        <w:spacing w:line="420" w:lineRule="exact"/>
        <w:ind w:left="238"/>
        <w:rPr>
          <w:rFonts w:ascii="標楷體" w:eastAsia="標楷體" w:hAnsi="標楷體"/>
        </w:rPr>
      </w:pPr>
      <w:r w:rsidRPr="00E415B0">
        <w:rPr>
          <w:rFonts w:ascii="標楷體" w:eastAsia="標楷體" w:hAnsi="標楷體" w:hint="eastAsia"/>
          <w:spacing w:val="-2"/>
        </w:rPr>
        <w:t>五</w:t>
      </w:r>
      <w:r w:rsidRPr="00F51DCC">
        <w:rPr>
          <w:rFonts w:ascii="標楷體" w:eastAsia="標楷體" w:hAnsi="標楷體"/>
          <w:spacing w:val="-3"/>
        </w:rPr>
        <w:t>、處分股權應由管理單位規劃股權處分方案，進行價格與時點評估：</w:t>
      </w:r>
    </w:p>
    <w:p w14:paraId="44854035" w14:textId="77777777" w:rsidR="00BE6B6E" w:rsidRPr="00F51DCC" w:rsidRDefault="00BE6B6E" w:rsidP="00BE6B6E">
      <w:pPr>
        <w:pStyle w:val="a3"/>
        <w:spacing w:before="32" w:line="420" w:lineRule="exact"/>
        <w:ind w:right="267" w:hanging="440"/>
        <w:jc w:val="both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2"/>
        </w:rPr>
        <w:t>(</w:t>
      </w:r>
      <w:proofErr w:type="gramStart"/>
      <w:r w:rsidRPr="00F51DCC">
        <w:rPr>
          <w:rFonts w:ascii="標楷體" w:eastAsia="標楷體" w:hAnsi="標楷體"/>
          <w:spacing w:val="-2"/>
        </w:rPr>
        <w:t>一</w:t>
      </w:r>
      <w:proofErr w:type="gramEnd"/>
      <w:r w:rsidRPr="00F51DCC">
        <w:rPr>
          <w:rFonts w:ascii="標楷體" w:eastAsia="標楷體" w:hAnsi="標楷體"/>
          <w:spacing w:val="-2"/>
        </w:rPr>
        <w:t>)上市（櫃）股票處分方案：處分已於集中交易市場或櫃檯買賣中心買賣之有價證券，至少應參考當時最近成交價格，並得考量其每股淨值、技術與獲利能力議定之。</w:t>
      </w:r>
    </w:p>
    <w:p w14:paraId="46FD0121" w14:textId="77777777" w:rsidR="00BE6B6E" w:rsidRPr="00F51DCC" w:rsidRDefault="00BE6B6E" w:rsidP="00BE6B6E">
      <w:pPr>
        <w:pStyle w:val="a3"/>
        <w:spacing w:before="11" w:line="420" w:lineRule="exact"/>
        <w:ind w:right="145" w:hanging="440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18"/>
        </w:rPr>
        <w:t>(二)非上市（櫃）股票處分方案：至少應包括擬出售之對象、底價股數、及時</w:t>
      </w:r>
      <w:r w:rsidRPr="00F51DCC">
        <w:rPr>
          <w:rFonts w:ascii="標楷體" w:eastAsia="標楷體" w:hAnsi="標楷體"/>
          <w:spacing w:val="-4"/>
        </w:rPr>
        <w:t>間區間。</w:t>
      </w:r>
    </w:p>
    <w:p w14:paraId="73211A97" w14:textId="77777777" w:rsidR="00BE6B6E" w:rsidRPr="00F51DCC" w:rsidRDefault="00BE6B6E" w:rsidP="00BE6B6E">
      <w:pPr>
        <w:pStyle w:val="a3"/>
        <w:spacing w:line="420" w:lineRule="exact"/>
        <w:ind w:left="238"/>
        <w:rPr>
          <w:rFonts w:ascii="標楷體" w:eastAsia="標楷體" w:hAnsi="標楷體"/>
        </w:rPr>
      </w:pPr>
      <w:r w:rsidRPr="00E415B0">
        <w:rPr>
          <w:rFonts w:ascii="標楷體" w:eastAsia="標楷體" w:hAnsi="標楷體" w:hint="eastAsia"/>
          <w:spacing w:val="-2"/>
        </w:rPr>
        <w:t>六</w:t>
      </w:r>
      <w:r w:rsidRPr="00F51DCC">
        <w:rPr>
          <w:rFonts w:ascii="標楷體" w:eastAsia="標楷體" w:hAnsi="標楷體"/>
          <w:spacing w:val="-3"/>
        </w:rPr>
        <w:t>、股權處分方案之審查方式，分初審及</w:t>
      </w:r>
      <w:proofErr w:type="gramStart"/>
      <w:r w:rsidRPr="00F51DCC">
        <w:rPr>
          <w:rFonts w:ascii="標楷體" w:eastAsia="標楷體" w:hAnsi="標楷體"/>
          <w:spacing w:val="-3"/>
        </w:rPr>
        <w:t>複</w:t>
      </w:r>
      <w:proofErr w:type="gramEnd"/>
      <w:r w:rsidRPr="00F51DCC">
        <w:rPr>
          <w:rFonts w:ascii="標楷體" w:eastAsia="標楷體" w:hAnsi="標楷體"/>
          <w:spacing w:val="-3"/>
        </w:rPr>
        <w:t>審二階段：</w:t>
      </w:r>
    </w:p>
    <w:p w14:paraId="5805F742" w14:textId="77777777" w:rsidR="00BE6B6E" w:rsidRPr="00F51DCC" w:rsidRDefault="00BE6B6E" w:rsidP="00BE6B6E">
      <w:pPr>
        <w:pStyle w:val="a3"/>
        <w:spacing w:before="32" w:line="420" w:lineRule="exact"/>
        <w:ind w:right="259" w:hanging="440"/>
        <w:jc w:val="both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2"/>
        </w:rPr>
        <w:t>(</w:t>
      </w:r>
      <w:proofErr w:type="gramStart"/>
      <w:r w:rsidRPr="00F51DCC">
        <w:rPr>
          <w:rFonts w:ascii="標楷體" w:eastAsia="標楷體" w:hAnsi="標楷體"/>
          <w:spacing w:val="-2"/>
        </w:rPr>
        <w:t>一</w:t>
      </w:r>
      <w:proofErr w:type="gramEnd"/>
      <w:r w:rsidRPr="00F51DCC">
        <w:rPr>
          <w:rFonts w:ascii="標楷體" w:eastAsia="標楷體" w:hAnsi="標楷體"/>
          <w:spacing w:val="-2"/>
        </w:rPr>
        <w:t>)初審：由本校研究成果審議委員會審議，必要時得再聘請外部專家或會計師擔任外部委員，針對處分方案進行實質審查，並作成初審意見送</w:t>
      </w:r>
      <w:proofErr w:type="gramStart"/>
      <w:r w:rsidRPr="00F51DCC">
        <w:rPr>
          <w:rFonts w:ascii="標楷體" w:eastAsia="標楷體" w:hAnsi="標楷體"/>
          <w:spacing w:val="-2"/>
        </w:rPr>
        <w:t>複</w:t>
      </w:r>
      <w:proofErr w:type="gramEnd"/>
      <w:r w:rsidRPr="00F51DCC">
        <w:rPr>
          <w:rFonts w:ascii="標楷體" w:eastAsia="標楷體" w:hAnsi="標楷體"/>
          <w:spacing w:val="-2"/>
        </w:rPr>
        <w:t>審委員會。</w:t>
      </w:r>
    </w:p>
    <w:p w14:paraId="77EB8819" w14:textId="77777777" w:rsidR="00BE6B6E" w:rsidRPr="00F51DCC" w:rsidRDefault="00BE6B6E" w:rsidP="00BE6B6E">
      <w:pPr>
        <w:pStyle w:val="a3"/>
        <w:spacing w:line="420" w:lineRule="exact"/>
        <w:ind w:left="692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2"/>
        </w:rPr>
        <w:t>(二)</w:t>
      </w:r>
      <w:proofErr w:type="gramStart"/>
      <w:r w:rsidRPr="00F51DCC">
        <w:rPr>
          <w:rFonts w:ascii="標楷體" w:eastAsia="標楷體" w:hAnsi="標楷體"/>
          <w:spacing w:val="-3"/>
        </w:rPr>
        <w:t>複</w:t>
      </w:r>
      <w:proofErr w:type="gramEnd"/>
      <w:r w:rsidRPr="00F51DCC">
        <w:rPr>
          <w:rFonts w:ascii="標楷體" w:eastAsia="標楷體" w:hAnsi="標楷體"/>
          <w:spacing w:val="-3"/>
        </w:rPr>
        <w:t>審：由管理單位彙整處分方案之初審意見提「校務基金管理委員會」</w:t>
      </w:r>
    </w:p>
    <w:p w14:paraId="21D12138" w14:textId="77777777" w:rsidR="00BE6B6E" w:rsidRPr="00F51DCC" w:rsidRDefault="00BE6B6E" w:rsidP="00BE6B6E">
      <w:pPr>
        <w:pStyle w:val="a3"/>
        <w:spacing w:line="420" w:lineRule="exact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4"/>
        </w:rPr>
        <w:t>審議。</w:t>
      </w:r>
    </w:p>
    <w:p w14:paraId="6EF417D0" w14:textId="77777777" w:rsidR="00BE6B6E" w:rsidRPr="00F51DCC" w:rsidRDefault="00BE6B6E" w:rsidP="00BE6B6E">
      <w:pPr>
        <w:pStyle w:val="a3"/>
        <w:spacing w:line="420" w:lineRule="exact"/>
        <w:ind w:left="694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3"/>
        </w:rPr>
        <w:lastRenderedPageBreak/>
        <w:t>初審、</w:t>
      </w:r>
      <w:proofErr w:type="gramStart"/>
      <w:r w:rsidRPr="00F51DCC">
        <w:rPr>
          <w:rFonts w:ascii="標楷體" w:eastAsia="標楷體" w:hAnsi="標楷體"/>
          <w:spacing w:val="-3"/>
        </w:rPr>
        <w:t>複</w:t>
      </w:r>
      <w:proofErr w:type="gramEnd"/>
      <w:r w:rsidRPr="00F51DCC">
        <w:rPr>
          <w:rFonts w:ascii="標楷體" w:eastAsia="標楷體" w:hAnsi="標楷體"/>
          <w:spacing w:val="-3"/>
        </w:rPr>
        <w:t>審委員應綜合考量公正性及利益迴避原則。</w:t>
      </w:r>
    </w:p>
    <w:p w14:paraId="254288CA" w14:textId="77777777" w:rsidR="00BE6B6E" w:rsidRPr="00F51DCC" w:rsidRDefault="00BE6B6E" w:rsidP="00BE6B6E">
      <w:pPr>
        <w:pStyle w:val="a3"/>
        <w:spacing w:before="28" w:line="420" w:lineRule="exact"/>
        <w:ind w:left="769" w:right="287" w:hanging="53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pacing w:val="-2"/>
        </w:rPr>
        <w:t>七</w:t>
      </w:r>
      <w:r w:rsidRPr="00F51DCC">
        <w:rPr>
          <w:rFonts w:ascii="標楷體" w:eastAsia="標楷體" w:hAnsi="標楷體"/>
          <w:spacing w:val="-2"/>
        </w:rPr>
        <w:t>、依</w:t>
      </w:r>
      <w:proofErr w:type="gramStart"/>
      <w:r w:rsidRPr="00F51DCC">
        <w:rPr>
          <w:rFonts w:ascii="標楷體" w:eastAsia="標楷體" w:hAnsi="標楷體"/>
          <w:spacing w:val="-2"/>
        </w:rPr>
        <w:t>複</w:t>
      </w:r>
      <w:proofErr w:type="gramEnd"/>
      <w:r w:rsidRPr="00F51DCC">
        <w:rPr>
          <w:rFonts w:ascii="標楷體" w:eastAsia="標楷體" w:hAnsi="標楷體"/>
          <w:spacing w:val="-2"/>
        </w:rPr>
        <w:t>審委員會之決議，由管理單位或委託專業機構辦理股權處分方案，並視股權性質依學校內部相關作業流程辦理。</w:t>
      </w:r>
    </w:p>
    <w:p w14:paraId="04867B89" w14:textId="77777777" w:rsidR="00BE6B6E" w:rsidRPr="00F51DCC" w:rsidRDefault="00BE6B6E" w:rsidP="00BE6B6E">
      <w:pPr>
        <w:pStyle w:val="a3"/>
        <w:spacing w:line="420" w:lineRule="exact"/>
        <w:ind w:left="769"/>
        <w:rPr>
          <w:rFonts w:ascii="標楷體" w:eastAsia="標楷體" w:hAnsi="標楷體"/>
        </w:rPr>
      </w:pPr>
      <w:r w:rsidRPr="00F51DCC">
        <w:rPr>
          <w:rFonts w:ascii="標楷體" w:eastAsia="標楷體" w:hAnsi="標楷體"/>
          <w:spacing w:val="-16"/>
        </w:rPr>
        <w:t>管理單位應將處分股權相關文件妥善保存。</w:t>
      </w:r>
    </w:p>
    <w:p w14:paraId="363DFB8E" w14:textId="77777777" w:rsidR="00BE6B6E" w:rsidRPr="00F51DCC" w:rsidRDefault="00BE6B6E" w:rsidP="00BE6B6E">
      <w:pPr>
        <w:pStyle w:val="a3"/>
        <w:spacing w:before="33" w:line="420" w:lineRule="exact"/>
        <w:ind w:left="769" w:right="267" w:hanging="533"/>
        <w:jc w:val="both"/>
        <w:rPr>
          <w:rFonts w:ascii="標楷體" w:eastAsia="標楷體" w:hAnsi="標楷體"/>
        </w:rPr>
      </w:pPr>
      <w:r w:rsidRPr="00E415B0">
        <w:rPr>
          <w:rFonts w:ascii="標楷體" w:eastAsia="標楷體" w:hAnsi="標楷體" w:hint="eastAsia"/>
          <w:spacing w:val="-2"/>
        </w:rPr>
        <w:t>八</w:t>
      </w:r>
      <w:r w:rsidRPr="00F51DCC">
        <w:rPr>
          <w:rFonts w:ascii="標楷體" w:eastAsia="標楷體" w:hAnsi="標楷體"/>
          <w:spacing w:val="-2"/>
        </w:rPr>
        <w:t>、股權處分管理及相關人員，除涉及違法情事外，其循學校所訂內部程序進行股權處分定價，免除其於定價後價格變化產生之執行職務與財產</w:t>
      </w:r>
      <w:proofErr w:type="gramStart"/>
      <w:r w:rsidRPr="00F51DCC">
        <w:rPr>
          <w:rFonts w:ascii="標楷體" w:eastAsia="標楷體" w:hAnsi="標楷體"/>
          <w:spacing w:val="-2"/>
        </w:rPr>
        <w:t>帳面</w:t>
      </w:r>
      <w:proofErr w:type="gramEnd"/>
      <w:r w:rsidRPr="00F51DCC">
        <w:rPr>
          <w:rFonts w:ascii="標楷體" w:eastAsia="標楷體" w:hAnsi="標楷體"/>
          <w:spacing w:val="-2"/>
        </w:rPr>
        <w:t>減損之責任。</w:t>
      </w:r>
    </w:p>
    <w:p w14:paraId="02E846B0" w14:textId="77777777" w:rsidR="00BE6B6E" w:rsidRDefault="00BE6B6E" w:rsidP="00BE6B6E">
      <w:pPr>
        <w:pStyle w:val="a3"/>
        <w:spacing w:line="420" w:lineRule="exact"/>
        <w:ind w:left="238"/>
      </w:pPr>
      <w:r w:rsidRPr="00E415B0">
        <w:rPr>
          <w:rFonts w:ascii="標楷體" w:eastAsia="標楷體" w:hAnsi="標楷體" w:hint="eastAsia"/>
          <w:spacing w:val="-16"/>
        </w:rPr>
        <w:t>九</w:t>
      </w:r>
      <w:r w:rsidRPr="00F51DCC">
        <w:rPr>
          <w:rFonts w:ascii="標楷體" w:eastAsia="標楷體" w:hAnsi="標楷體"/>
          <w:spacing w:val="-16"/>
        </w:rPr>
        <w:t>、本要點經校務基金管理委員會議通過，陳請校長核定後施行；修正時亦同。</w:t>
      </w:r>
    </w:p>
    <w:p w14:paraId="37A9ECF2" w14:textId="77777777" w:rsidR="003B5E71" w:rsidRPr="00BE6B6E" w:rsidRDefault="003B5E71"/>
    <w:sectPr w:rsidR="003B5E71" w:rsidRPr="00BE6B6E">
      <w:footerReference w:type="default" r:id="rId6"/>
      <w:pgSz w:w="11910" w:h="16840"/>
      <w:pgMar w:top="1120" w:right="850" w:bottom="1420" w:left="992" w:header="0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E905" w14:textId="77777777" w:rsidR="007508C7" w:rsidRDefault="007508C7">
      <w:r>
        <w:separator/>
      </w:r>
    </w:p>
  </w:endnote>
  <w:endnote w:type="continuationSeparator" w:id="0">
    <w:p w14:paraId="0FA436E3" w14:textId="77777777" w:rsidR="007508C7" w:rsidRDefault="0075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5260" w14:textId="77777777" w:rsidR="00640A9F" w:rsidRDefault="00BE6B6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177882" wp14:editId="4E770D0F">
              <wp:simplePos x="0" y="0"/>
              <wp:positionH relativeFrom="page">
                <wp:posOffset>3710813</wp:posOffset>
              </wp:positionH>
              <wp:positionV relativeFrom="page">
                <wp:posOffset>9770998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C8815" w14:textId="77777777" w:rsidR="00640A9F" w:rsidRDefault="00BE6B6E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778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pt;margin-top:769.35pt;width:12.0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HjAjw3hAAAADQEAAA8AAAAAAAAAAAAAAAAAAAQAAGRycy9kb3ducmV2LnhtbFBL&#10;BQYAAAAABAAEAPMAAAAOBQAAAAA=&#10;" filled="f" stroked="f">
              <v:textbox inset="0,0,0,0">
                <w:txbxContent>
                  <w:p w14:paraId="23EC8815" w14:textId="77777777" w:rsidR="00640A9F" w:rsidRDefault="00BE6B6E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2C9B" w14:textId="77777777" w:rsidR="007508C7" w:rsidRDefault="007508C7">
      <w:r>
        <w:separator/>
      </w:r>
    </w:p>
  </w:footnote>
  <w:footnote w:type="continuationSeparator" w:id="0">
    <w:p w14:paraId="59D6E8DF" w14:textId="77777777" w:rsidR="007508C7" w:rsidRDefault="0075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6E"/>
    <w:rsid w:val="003B5E71"/>
    <w:rsid w:val="003C170E"/>
    <w:rsid w:val="007508C7"/>
    <w:rsid w:val="00B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A358"/>
  <w15:chartTrackingRefBased/>
  <w15:docId w15:val="{4E5A9949-EC3E-450B-BE22-0E4E858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B6E"/>
    <w:pPr>
      <w:widowControl w:val="0"/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6B6E"/>
    <w:pPr>
      <w:ind w:left="1131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BE6B6E"/>
    <w:rPr>
      <w:rFonts w:ascii="微軟正黑體" w:eastAsia="微軟正黑體" w:hAnsi="微軟正黑體" w:cs="微軟正黑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2026-01-23T00:42:00Z</dcterms:created>
  <dcterms:modified xsi:type="dcterms:W3CDTF">2026-01-23T00:42:00Z</dcterms:modified>
</cp:coreProperties>
</file>